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FE" w:rsidRPr="00A645FE" w:rsidRDefault="00A645FE" w:rsidP="009D614C">
      <w:pPr>
        <w:jc w:val="center"/>
        <w:rPr>
          <w:b/>
        </w:rPr>
      </w:pPr>
      <w:r w:rsidRPr="00A645FE">
        <w:rPr>
          <w:b/>
        </w:rPr>
        <w:t>WPID:  SCGWPNRCC120903A</w:t>
      </w:r>
      <w:r>
        <w:rPr>
          <w:b/>
        </w:rPr>
        <w:t xml:space="preserve"> Rev. 0</w:t>
      </w:r>
    </w:p>
    <w:p w:rsidR="009D614C" w:rsidRPr="009D614C" w:rsidRDefault="009D614C" w:rsidP="009D614C">
      <w:pPr>
        <w:jc w:val="center"/>
        <w:rPr>
          <w:i/>
        </w:rPr>
      </w:pPr>
      <w:r w:rsidRPr="009D614C">
        <w:rPr>
          <w:i/>
        </w:rPr>
        <w:t xml:space="preserve">SoCal Gas’ </w:t>
      </w:r>
      <w:r w:rsidR="00C70D35">
        <w:rPr>
          <w:i/>
        </w:rPr>
        <w:t xml:space="preserve">On-Bill Financing (OBF) and </w:t>
      </w:r>
      <w:r w:rsidRPr="009D614C">
        <w:rPr>
          <w:i/>
        </w:rPr>
        <w:t xml:space="preserve">Statewide Commercial, Agricultural, and Industrial Programs </w:t>
      </w:r>
      <w:r w:rsidR="00C70D35">
        <w:rPr>
          <w:i/>
        </w:rPr>
        <w:t xml:space="preserve">Custom-Calculated </w:t>
      </w:r>
      <w:r w:rsidRPr="009D614C">
        <w:rPr>
          <w:i/>
        </w:rPr>
        <w:t>Measure Projection Description Utilized for its 2013-2014 Program Implementation Plan E3 Calculator Model</w:t>
      </w:r>
      <w:r w:rsidR="00C70D35">
        <w:rPr>
          <w:i/>
        </w:rPr>
        <w:t>s</w:t>
      </w:r>
    </w:p>
    <w:p w:rsidR="009D614C" w:rsidRDefault="009D614C"/>
    <w:p w:rsidR="00EF39D4" w:rsidRDefault="00EF39D4">
      <w:r>
        <w:t xml:space="preserve">The E3 calculator inputs (measure cost, incentive, EUL, and unit counts) for the 2013-14 SoCalGas </w:t>
      </w:r>
      <w:r w:rsidR="00CA1EAE">
        <w:t xml:space="preserve">commercial, industrial, and agricultural subprogram </w:t>
      </w:r>
      <w:r w:rsidR="0098504D">
        <w:t xml:space="preserve">custom-calculated measures </w:t>
      </w:r>
      <w:r w:rsidR="00BB10BC">
        <w:t>used</w:t>
      </w:r>
      <w:r>
        <w:t xml:space="preserve"> </w:t>
      </w:r>
      <w:r w:rsidR="00BB10BC">
        <w:t xml:space="preserve">the reported results from 2011 as its primary building block. </w:t>
      </w:r>
      <w:r w:rsidR="00CA1EAE">
        <w:t>M</w:t>
      </w:r>
      <w:r w:rsidR="00854E65">
        <w:t xml:space="preserve">easure values were </w:t>
      </w:r>
      <w:r w:rsidR="00CA1EAE">
        <w:t xml:space="preserve">first </w:t>
      </w:r>
      <w:r w:rsidR="00854E65">
        <w:t>forecast based upon the level of activity expected to be achieved given past performance and the existing pipeline of projects.</w:t>
      </w:r>
    </w:p>
    <w:p w:rsidR="00EF39D4" w:rsidRDefault="00EF39D4">
      <w:r>
        <w:t xml:space="preserve">Oral interviews and meetings </w:t>
      </w:r>
      <w:r w:rsidR="00BB10BC">
        <w:t xml:space="preserve">were also performed </w:t>
      </w:r>
      <w:r>
        <w:t xml:space="preserve">with </w:t>
      </w:r>
      <w:r w:rsidR="00854E65">
        <w:t xml:space="preserve">key stakeholders that included select </w:t>
      </w:r>
      <w:r>
        <w:t xml:space="preserve">department managers, Program Management </w:t>
      </w:r>
      <w:r w:rsidR="00854E65">
        <w:t xml:space="preserve">staff, </w:t>
      </w:r>
      <w:r>
        <w:t xml:space="preserve">and </w:t>
      </w:r>
      <w:r w:rsidR="0098504D">
        <w:t>SoCal</w:t>
      </w:r>
      <w:r>
        <w:t>Gas implementers (namely the Account Executive management team)</w:t>
      </w:r>
      <w:r w:rsidR="00854E65">
        <w:t xml:space="preserve">.  These interviews helped identify </w:t>
      </w:r>
      <w:r w:rsidR="0098504D">
        <w:t>factors</w:t>
      </w:r>
      <w:r w:rsidR="00854E65">
        <w:t xml:space="preserve"> that </w:t>
      </w:r>
      <w:r w:rsidR="00CA1EAE">
        <w:t xml:space="preserve">would </w:t>
      </w:r>
      <w:r w:rsidR="00854E65">
        <w:t>affect SoCalGas’ ability to obtain the draft forecasted energy savings goal.  Factors identified included</w:t>
      </w:r>
      <w:r w:rsidR="0098504D">
        <w:t xml:space="preserve"> the perception of our Customers ability to invest in energy efficient capital improvement projects, the </w:t>
      </w:r>
      <w:r w:rsidR="00854E65">
        <w:t xml:space="preserve">expected state of the </w:t>
      </w:r>
      <w:r w:rsidR="0098504D">
        <w:t xml:space="preserve">economy at large for these market segments, and </w:t>
      </w:r>
      <w:r w:rsidR="00854E65">
        <w:t xml:space="preserve">internal </w:t>
      </w:r>
      <w:r w:rsidR="0098504D">
        <w:t>staffing requirements</w:t>
      </w:r>
      <w:r w:rsidR="00854E65">
        <w:t xml:space="preserve"> needed to accomplish such goals</w:t>
      </w:r>
      <w:r w:rsidR="0098504D">
        <w:t xml:space="preserve">.  The interviews </w:t>
      </w:r>
      <w:r w:rsidR="00CA1EAE">
        <w:t>allowed</w:t>
      </w:r>
      <w:r w:rsidR="00854E65">
        <w:t xml:space="preserve"> staff to adjust the </w:t>
      </w:r>
      <w:r w:rsidR="00CA1EAE">
        <w:t xml:space="preserve">initial subprogram-specific activity levels </w:t>
      </w:r>
      <w:r w:rsidR="00854E65">
        <w:t xml:space="preserve">and develop </w:t>
      </w:r>
      <w:r w:rsidR="00CA1EAE">
        <w:t>the filed</w:t>
      </w:r>
      <w:r w:rsidR="00347772">
        <w:t xml:space="preserve"> </w:t>
      </w:r>
      <w:r w:rsidR="0098504D">
        <w:t xml:space="preserve">custom-calculated subprogram </w:t>
      </w:r>
      <w:r w:rsidR="00854E65">
        <w:t>measure</w:t>
      </w:r>
      <w:r w:rsidR="00347772">
        <w:t>-based</w:t>
      </w:r>
      <w:r w:rsidR="00854E65">
        <w:t xml:space="preserve"> </w:t>
      </w:r>
      <w:r w:rsidR="00347772">
        <w:t>forecasts</w:t>
      </w:r>
      <w:r w:rsidR="0098504D">
        <w:t>.</w:t>
      </w:r>
      <w:r w:rsidR="00347772">
        <w:t xml:space="preserve">  Each measure within the subprogram was scaled uniformly since the qualitative information obtained did not lend itself to </w:t>
      </w:r>
      <w:r w:rsidR="00CA1EAE">
        <w:t xml:space="preserve">a more </w:t>
      </w:r>
      <w:r w:rsidR="00347772">
        <w:t>detailed extrapolation.  Additional</w:t>
      </w:r>
      <w:r w:rsidR="009128B6">
        <w:t>ly,</w:t>
      </w:r>
      <w:r w:rsidR="00347772">
        <w:t xml:space="preserve"> work was needed to refine the early-retirement measure forecast as well as incremental measure costs.</w:t>
      </w:r>
    </w:p>
    <w:p w:rsidR="009128B6" w:rsidRDefault="009128B6">
      <w:r>
        <w:t xml:space="preserve">To refine the early-retirement measure forecasts, a prima fascia review of the project records </w:t>
      </w:r>
      <w:r w:rsidR="00CA1EAE">
        <w:t>was conducted</w:t>
      </w:r>
      <w:r>
        <w:t xml:space="preserve">.  Like </w:t>
      </w:r>
      <w:r w:rsidR="00CA1EAE">
        <w:t>measures</w:t>
      </w:r>
      <w:r>
        <w:t xml:space="preserve"> were summed using a SQL sum query for each subprogram.  The </w:t>
      </w:r>
      <w:r w:rsidR="00E44FB1">
        <w:t>count of projects was</w:t>
      </w:r>
      <w:r>
        <w:t xml:space="preserve"> not accounted for </w:t>
      </w:r>
      <w:r w:rsidR="00E44FB1">
        <w:t>during</w:t>
      </w:r>
      <w:r>
        <w:t xml:space="preserve"> this </w:t>
      </w:r>
      <w:r w:rsidR="00E44FB1">
        <w:t>analysis</w:t>
      </w:r>
      <w:r>
        <w:t xml:space="preserve">.  </w:t>
      </w:r>
      <w:r w:rsidR="00E44FB1">
        <w:t>The</w:t>
      </w:r>
      <w:r>
        <w:t xml:space="preserve"> reviewer of the </w:t>
      </w:r>
      <w:r w:rsidR="00E44FB1">
        <w:t xml:space="preserve">queried </w:t>
      </w:r>
      <w:r>
        <w:t>data then assigned a measure delivery quality of New Construction, Replace On Burnout, Process Improvement, or Early Retirement.  One measure description per subprogram was found to contain Process Improvement or Early Retirement measures.  A ratio was identified using the reported gross therm savings for each subprogram</w:t>
      </w:r>
      <w:r w:rsidR="00E44FB1">
        <w:t>.  This ratio was then used to</w:t>
      </w:r>
      <w:r>
        <w:t xml:space="preserve"> parse the </w:t>
      </w:r>
      <w:r w:rsidR="00E44FB1">
        <w:t xml:space="preserve">identified forecasted measure </w:t>
      </w:r>
      <w:r>
        <w:t>into two measures.</w:t>
      </w:r>
      <w:r w:rsidR="00362582">
        <w:t xml:space="preserve">  The RUL </w:t>
      </w:r>
      <w:r w:rsidR="00A2695E">
        <w:t xml:space="preserve">for early retirement measures </w:t>
      </w:r>
      <w:r w:rsidR="00362582">
        <w:t>adopted the mandated default of 1/3 * EUL rounded to the nearest quarter [e.g. RUL = 1/3*(20 years) = 6.75 years].</w:t>
      </w:r>
    </w:p>
    <w:p w:rsidR="0098504D" w:rsidRDefault="00E44FB1">
      <w:r>
        <w:t xml:space="preserve">To refine the Incremental Measure Cost (IMC), a sample of projects were selected </w:t>
      </w:r>
      <w:r w:rsidR="00CA1EAE">
        <w:t>and reviewed in conjunction</w:t>
      </w:r>
      <w:r>
        <w:t xml:space="preserve"> with a profession</w:t>
      </w:r>
      <w:r w:rsidR="00CA1EAE">
        <w:t>al</w:t>
      </w:r>
      <w:r>
        <w:t xml:space="preserve"> construction cost estimator</w:t>
      </w:r>
      <w:r w:rsidR="00CA1EAE">
        <w:t>.</w:t>
      </w:r>
      <w:r>
        <w:t xml:space="preserve"> </w:t>
      </w:r>
      <w:r w:rsidR="00CA1EAE">
        <w:t xml:space="preserve"> </w:t>
      </w:r>
      <w:r>
        <w:t xml:space="preserve">The sample revealed that project invoices are </w:t>
      </w:r>
      <w:r w:rsidR="002A6218">
        <w:t>inconsistent i</w:t>
      </w:r>
      <w:r w:rsidR="00670C7C">
        <w:t>n their presentation of costs</w:t>
      </w:r>
      <w:r w:rsidR="00CA1EAE">
        <w:t>.</w:t>
      </w:r>
      <w:r w:rsidR="00670C7C">
        <w:t xml:space="preserve"> </w:t>
      </w:r>
      <w:r w:rsidR="00CA1EAE">
        <w:t>In particular</w:t>
      </w:r>
      <w:r w:rsidR="00670C7C">
        <w:t xml:space="preserve"> </w:t>
      </w:r>
      <w:proofErr w:type="spellStart"/>
      <w:r w:rsidR="00670C7C">
        <w:t>basecase</w:t>
      </w:r>
      <w:proofErr w:type="spellEnd"/>
      <w:r w:rsidR="00670C7C">
        <w:t xml:space="preserve"> costs</w:t>
      </w:r>
      <w:r w:rsidR="00CA1EAE">
        <w:t xml:space="preserve"> were not consistently presented</w:t>
      </w:r>
      <w:r w:rsidR="00670C7C">
        <w:t xml:space="preserve">.  Therefore, an assumption of 25% markup </w:t>
      </w:r>
      <w:r w:rsidR="00362582">
        <w:t xml:space="preserve">of the standard efficiency technology </w:t>
      </w:r>
      <w:r w:rsidR="00670C7C">
        <w:t>was used.</w:t>
      </w:r>
      <w:r w:rsidR="00362582">
        <w:t xml:space="preserve">  Since the data we had is the project cost representing the efficient technology, then the </w:t>
      </w:r>
      <w:proofErr w:type="spellStart"/>
      <w:r w:rsidR="00362582">
        <w:t>basecase</w:t>
      </w:r>
      <w:proofErr w:type="spellEnd"/>
      <w:r w:rsidR="00362582">
        <w:t xml:space="preserve"> cost is 80% of </w:t>
      </w:r>
      <w:r w:rsidR="00362582">
        <w:lastRenderedPageBreak/>
        <w:t xml:space="preserve">the project cost.  Therefore the IMC is 20% of the project cost [IMC = y – x, where 1.25*x = y (or x = 0.80*y), </w:t>
      </w:r>
      <w:r w:rsidR="00384B65">
        <w:t xml:space="preserve">or </w:t>
      </w:r>
      <w:r w:rsidR="00362582">
        <w:t>IMC = y*(1-0.80) = 0.20*y]</w:t>
      </w:r>
      <w:r w:rsidR="00C65BBD">
        <w:t xml:space="preserve"> is used for NEW, and ROB measures.  One-hundred percent of the project cost is used for Process Improvement measures.</w:t>
      </w:r>
      <w:r w:rsidR="009D614C">
        <w:t xml:space="preserve">  </w:t>
      </w:r>
      <w:r w:rsidR="00C65BBD">
        <w:t>For Early Retirement (RET) measures, 100% of the project cost is used for the 1</w:t>
      </w:r>
      <w:r w:rsidR="00C65BBD" w:rsidRPr="00C65BBD">
        <w:rPr>
          <w:vertAlign w:val="superscript"/>
        </w:rPr>
        <w:t>st</w:t>
      </w:r>
      <w:r w:rsidR="00C65BBD">
        <w:t xml:space="preserve"> period, and 80% of the project cost </w:t>
      </w:r>
      <w:r w:rsidR="00A2695E">
        <w:t xml:space="preserve">(or 20% IMC) </w:t>
      </w:r>
      <w:bookmarkStart w:id="0" w:name="_GoBack"/>
      <w:bookmarkEnd w:id="0"/>
      <w:r w:rsidR="00C65BBD">
        <w:t>is used to represent the 2</w:t>
      </w:r>
      <w:r w:rsidR="00C65BBD" w:rsidRPr="00C65BBD">
        <w:rPr>
          <w:vertAlign w:val="superscript"/>
        </w:rPr>
        <w:t>nd</w:t>
      </w:r>
      <w:r w:rsidR="00C65BBD">
        <w:t xml:space="preserve"> period.</w:t>
      </w:r>
    </w:p>
    <w:p w:rsidR="009D614C" w:rsidRPr="009D614C" w:rsidRDefault="009D614C" w:rsidP="00A2695E">
      <w:pPr>
        <w:rPr>
          <w:b/>
        </w:rPr>
      </w:pPr>
      <w:r w:rsidRPr="009D614C">
        <w:rPr>
          <w:b/>
          <w:u w:val="single"/>
        </w:rPr>
        <w:t>Table I</w:t>
      </w:r>
      <w:r w:rsidRPr="009D614C">
        <w:rPr>
          <w:b/>
        </w:rPr>
        <w:t xml:space="preserve"> – </w:t>
      </w:r>
      <w:r w:rsidR="00A2695E">
        <w:rPr>
          <w:b/>
        </w:rPr>
        <w:t>Conversion Factor Development for</w:t>
      </w:r>
      <w:r w:rsidRPr="009D614C">
        <w:rPr>
          <w:b/>
        </w:rPr>
        <w:t xml:space="preserve"> Projected Custom-Calculated Measures Energy Savings and Costs in a per Project Basis for input into SCG’s 2013-2014 Program Implementation Plan E3 Calculator Model</w:t>
      </w:r>
    </w:p>
    <w:p w:rsidR="009D614C" w:rsidRDefault="00A2695E" w:rsidP="00A2695E">
      <w:pPr>
        <w:jc w:val="center"/>
      </w:pPr>
      <w:r w:rsidRPr="00A2695E">
        <w:drawing>
          <wp:inline distT="0" distB="0" distL="0" distR="0" wp14:anchorId="181D5B05" wp14:editId="39397C39">
            <wp:extent cx="4925060" cy="129921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5060" cy="1299210"/>
                    </a:xfrm>
                    <a:prstGeom prst="rect">
                      <a:avLst/>
                    </a:prstGeom>
                    <a:noFill/>
                    <a:ln>
                      <a:noFill/>
                    </a:ln>
                  </pic:spPr>
                </pic:pic>
              </a:graphicData>
            </a:graphic>
          </wp:inline>
        </w:drawing>
      </w:r>
    </w:p>
    <w:p w:rsidR="00CA1EAE" w:rsidRDefault="00EF39D4">
      <w:r>
        <w:t xml:space="preserve">OBF subprogram </w:t>
      </w:r>
      <w:r w:rsidR="00CA1EAE">
        <w:t xml:space="preserve">measure inputs </w:t>
      </w:r>
      <w:r>
        <w:t xml:space="preserve">were </w:t>
      </w:r>
      <w:r w:rsidR="00CA1EAE">
        <w:t xml:space="preserve">determined in a similar fashion.  OBF inputs were </w:t>
      </w:r>
      <w:r>
        <w:t>based upon the level of activity expected to be achieved given past performance and the existing pipeline of projects.</w:t>
      </w:r>
    </w:p>
    <w:p w:rsidR="00CA1EAE" w:rsidRDefault="00CA1EAE">
      <w:r>
        <w:t>Displaying measure inputs on a per project basis</w:t>
      </w:r>
      <w:r w:rsidR="00330E79">
        <w:t xml:space="preserve"> is not meaningful given the wide range of project sizes.  If desired the per </w:t>
      </w:r>
      <w:r w:rsidR="00EF39D4">
        <w:t>project average savings</w:t>
      </w:r>
      <w:r w:rsidR="00330E79">
        <w:t xml:space="preserve"> for the OBF subprogram (for example)</w:t>
      </w:r>
      <w:r w:rsidR="00EF39D4">
        <w:t xml:space="preserve"> could be obtained by dividing the annual savings level by 10, although the resulting average might bear only limited relationship to the range of expected project savings.  Average measure cost levels could also be crudely estimated by div</w:t>
      </w:r>
      <w:r w:rsidR="00330E79">
        <w:t>id</w:t>
      </w:r>
      <w:r w:rsidR="00EF39D4">
        <w:t>ing the product of annual unit counts and measure cost/un</w:t>
      </w:r>
      <w:r w:rsidR="00330E79">
        <w:t>i</w:t>
      </w:r>
      <w:r w:rsidR="00EF39D4">
        <w:t>t by the number of units.  Similar calculations could be employed to determine average incentive cost levels.</w:t>
      </w:r>
    </w:p>
    <w:sectPr w:rsidR="00CA1EAE" w:rsidSect="00CA1EA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D4"/>
    <w:rsid w:val="002A6218"/>
    <w:rsid w:val="002F3067"/>
    <w:rsid w:val="00330E79"/>
    <w:rsid w:val="00347772"/>
    <w:rsid w:val="00362582"/>
    <w:rsid w:val="00384B65"/>
    <w:rsid w:val="00426C26"/>
    <w:rsid w:val="00487B24"/>
    <w:rsid w:val="00670C7C"/>
    <w:rsid w:val="006C533B"/>
    <w:rsid w:val="00854E65"/>
    <w:rsid w:val="009128B6"/>
    <w:rsid w:val="0098504D"/>
    <w:rsid w:val="009D614C"/>
    <w:rsid w:val="00A2695E"/>
    <w:rsid w:val="00A645FE"/>
    <w:rsid w:val="00A82B96"/>
    <w:rsid w:val="00BB10BC"/>
    <w:rsid w:val="00C65BBD"/>
    <w:rsid w:val="00C70D35"/>
    <w:rsid w:val="00CA1EAE"/>
    <w:rsid w:val="00CC2D24"/>
    <w:rsid w:val="00CC2E76"/>
    <w:rsid w:val="00CC405A"/>
    <w:rsid w:val="00D20C0B"/>
    <w:rsid w:val="00D64E52"/>
    <w:rsid w:val="00E44FB1"/>
    <w:rsid w:val="00EA155F"/>
    <w:rsid w:val="00EF3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D4"/>
    <w:pPr>
      <w:spacing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EA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EAE"/>
    <w:rPr>
      <w:rFonts w:ascii="Lucida Grande" w:eastAsiaTheme="minorEastAsia" w:hAnsi="Lucida Grande" w:cs="Lucida Grande"/>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D4"/>
    <w:pPr>
      <w:spacing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EA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EAE"/>
    <w:rPr>
      <w:rFonts w:ascii="Lucida Grande" w:eastAsiaTheme="minorEastAsia"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E7911134F331468D27912E0ABAA0E2" ma:contentTypeVersion="0" ma:contentTypeDescription="Create a new document." ma:contentTypeScope="" ma:versionID="e604e522ae8f28db049f8c0c684ed5a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0CCD322-61D6-4942-A2D5-2F2644CC1E14}"/>
</file>

<file path=customXml/itemProps2.xml><?xml version="1.0" encoding="utf-8"?>
<ds:datastoreItem xmlns:ds="http://schemas.openxmlformats.org/officeDocument/2006/customXml" ds:itemID="{FFC19106-FDC0-4C26-98F6-AE04D43529DB}"/>
</file>

<file path=customXml/itemProps3.xml><?xml version="1.0" encoding="utf-8"?>
<ds:datastoreItem xmlns:ds="http://schemas.openxmlformats.org/officeDocument/2006/customXml" ds:itemID="{52EE4F2F-8A63-47A7-89FA-3AE9DC38629E}"/>
</file>

<file path=customXml/itemProps4.xml><?xml version="1.0" encoding="utf-8"?>
<ds:datastoreItem xmlns:ds="http://schemas.openxmlformats.org/officeDocument/2006/customXml" ds:itemID="{27A30563-67D4-43FC-839E-7AD60631492A}"/>
</file>

<file path=docProps/app.xml><?xml version="1.0" encoding="utf-8"?>
<Properties xmlns="http://schemas.openxmlformats.org/officeDocument/2006/extended-properties" xmlns:vt="http://schemas.openxmlformats.org/officeDocument/2006/docPropsVTypes">
  <Template>Normal.dotm</Template>
  <TotalTime>586</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Kirchhoff, Eric</dc:creator>
  <cp:lastModifiedBy>Kirchhoff, Eric</cp:lastModifiedBy>
  <cp:revision>12</cp:revision>
  <cp:lastPrinted>2012-08-31T18:15:00Z</cp:lastPrinted>
  <dcterms:created xsi:type="dcterms:W3CDTF">2012-08-31T18:17:00Z</dcterms:created>
  <dcterms:modified xsi:type="dcterms:W3CDTF">2012-09-05T00:43:00Z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0x010100B3E7911134F331468D27912E0ABAA0E2</vt:lpwstr>
  </property>
</Properties>
</file>